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ind w:firstLine="546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843"/>
        <w:contextualSpacing w:val="0"/>
        <w:jc w:val="center"/>
      </w:pPr>
      <w:r w:rsidDel="00000000" w:rsidR="00000000" w:rsidRPr="00000000">
        <w:rPr>
          <w:rFonts w:ascii="ＭＳ 明朝" w:cs="ＭＳ 明朝" w:eastAsia="ＭＳ 明朝" w:hAnsi="ＭＳ 明朝"/>
          <w:b w:val="1"/>
          <w:sz w:val="21"/>
          <w:szCs w:val="21"/>
          <w:vertAlign w:val="baseline"/>
          <w:rtl w:val="0"/>
        </w:rPr>
        <w:t xml:space="preserve">戸板短期大学緊急時作業マニュアル（災害時のマウス・ラットについて）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210"/>
        <w:contextualSpacing w:val="0"/>
        <w:jc w:val="right"/>
      </w:pP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2015. 12作成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60"/>
        <w:contextualSpacing w:val="0"/>
        <w:jc w:val="right"/>
      </w:pP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戸板女子短期大学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843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1"/>
          <w:sz w:val="21"/>
          <w:szCs w:val="21"/>
          <w:vertAlign w:val="baseline"/>
          <w:rtl w:val="0"/>
        </w:rPr>
        <w:t xml:space="preserve">地震、火災時にとるべき措置について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1004" w:hanging="720"/>
        <w:jc w:val="both"/>
        <w:rPr>
          <w:rFonts w:ascii="ＭＳ 明朝" w:cs="ＭＳ 明朝" w:eastAsia="ＭＳ 明朝" w:hAnsi="ＭＳ 明朝"/>
          <w:b w:val="0"/>
          <w:sz w:val="21"/>
          <w:szCs w:val="21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地震・火災時には、原則的に飼育装置および</w:t>
      </w:r>
      <w:r w:rsidDel="00000000" w:rsidR="00000000" w:rsidRPr="00000000">
        <w:rPr>
          <w:rFonts w:ascii="ＭＳ 明朝" w:cs="ＭＳ 明朝" w:eastAsia="ＭＳ 明朝" w:hAnsi="ＭＳ 明朝"/>
          <w:b w:val="0"/>
          <w:color w:val="000000"/>
          <w:sz w:val="22"/>
          <w:szCs w:val="22"/>
          <w:vertAlign w:val="baseline"/>
          <w:rtl w:val="0"/>
        </w:rPr>
        <w:t xml:space="preserve">飼養保管施設</w:t>
      </w: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の施錠を行うこととし、作業する</w:t>
      </w:r>
      <w:r w:rsidDel="00000000" w:rsidR="00000000" w:rsidRPr="00000000">
        <w:rPr>
          <w:rFonts w:ascii="ＭＳ 明朝" w:cs="ＭＳ 明朝" w:eastAsia="ＭＳ 明朝" w:hAnsi="ＭＳ 明朝"/>
          <w:b w:val="0"/>
          <w:color w:val="000000"/>
          <w:sz w:val="22"/>
          <w:szCs w:val="22"/>
          <w:vertAlign w:val="baseline"/>
          <w:rtl w:val="0"/>
        </w:rPr>
        <w:t xml:space="preserve">動物実験実施者</w:t>
      </w: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の生命に危険が及ばない程度に、遺伝子組み換え動物を建物外（自然界）に出さないよう封じ込めるなどの措置を行う。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1004" w:hanging="720"/>
        <w:jc w:val="both"/>
        <w:rPr>
          <w:rFonts w:ascii="ＭＳ 明朝" w:cs="ＭＳ 明朝" w:eastAsia="ＭＳ 明朝" w:hAnsi="ＭＳ 明朝"/>
          <w:b w:val="0"/>
          <w:sz w:val="21"/>
          <w:szCs w:val="21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災害発生時の措置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1050" w:hanging="42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１）災害時措置については、平成24年10月に作成された本学の災害時対応マニュアル（教職員用）に従う。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63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２）飼養・保管施設あるいは教室内（動物を含む）の被害状況を把握する。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63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３）実験実施者の安否を確認し、具体的な復旧対策を練る。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63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４）動物の逃走、死亡の確認を行う。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63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５）給餌・給水体制の確認、飼育室の衛生処理等の復旧を行う。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63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６）被害の状況により、水や飼料の確保が難しい場合は、人道的な方法を用いて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105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0"/>
          <w:sz w:val="21"/>
          <w:szCs w:val="21"/>
          <w:vertAlign w:val="baseline"/>
          <w:rtl w:val="0"/>
        </w:rPr>
        <w:t xml:space="preserve">動物は安楽死処分する。</w:t>
      </w:r>
    </w:p>
    <w:sectPr>
      <w:pgSz w:h="16838" w:w="11906"/>
      <w:pgMar w:bottom="1701" w:top="1985" w:left="1701" w:right="1701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ＭＳ 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（%1）"/>
      <w:lvlJc w:val="left"/>
      <w:pPr>
        <w:ind w:left="1004" w:firstLine="284.00000000000006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1064" w:firstLine="704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544" w:firstLine="11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64" w:firstLine="1544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384" w:firstLine="1964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804" w:firstLine="23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24" w:firstLine="2804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644" w:firstLine="3224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064" w:firstLine="364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